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定位追踪器</w:t>
      </w:r>
    </w:p>
    <w:p>
      <w:pPr>
        <w:jc w:val="center"/>
        <w:rPr>
          <w:rFonts w:hint="eastAsia" w:ascii="Arial Black" w:hAnsi="Arial Black" w:cs="Arial Blac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Arial Black" w:hAnsi="Arial Black" w:cs="Arial Black"/>
          <w:b w:val="0"/>
          <w:bCs w:val="0"/>
          <w:sz w:val="30"/>
          <w:szCs w:val="30"/>
          <w:lang w:val="en-US" w:eastAsia="zh-CN"/>
        </w:rPr>
        <w:t>V1.0</w:t>
      </w:r>
    </w:p>
    <w:p>
      <w:pPr>
        <w:jc w:val="center"/>
        <w:rPr>
          <w:rFonts w:hint="eastAsia" w:ascii="Arial Black" w:hAnsi="Arial Black" w:cs="Arial Blac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Arial Black" w:hAnsi="Arial Black" w:cs="Arial Black"/>
          <w:b/>
          <w:bCs/>
          <w:sz w:val="44"/>
          <w:szCs w:val="44"/>
          <w:lang w:val="en-US" w:eastAsia="zh-CN"/>
        </w:rPr>
        <w:t>精准定位   |  超宽工作电压</w:t>
      </w:r>
    </w:p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22875" cy="2611755"/>
            <wp:effectExtent l="0" t="0" r="16510" b="0"/>
            <wp:docPr id="2" name="图片 2" descr="IMG_20191029_09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91029_0948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>
      <w:pPr>
        <w:autoSpaceDE w:val="0"/>
        <w:autoSpaceDN w:val="0"/>
        <w:adjustRightInd w:val="0"/>
        <w:jc w:val="center"/>
        <w:rPr>
          <w:rFonts w:hint="eastAsia"/>
          <w:b/>
          <w:color w:val="000000"/>
          <w:kern w:val="0"/>
          <w:sz w:val="48"/>
          <w:szCs w:val="48"/>
          <w:u w:val="single"/>
        </w:rPr>
      </w:pPr>
      <w:r>
        <w:rPr>
          <w:rFonts w:hint="eastAsia"/>
          <w:b/>
          <w:color w:val="000000"/>
          <w:kern w:val="0"/>
          <w:sz w:val="48"/>
          <w:szCs w:val="48"/>
          <w:u w:val="single"/>
        </w:rPr>
        <w:t>序言</w:t>
      </w:r>
    </w:p>
    <w:p>
      <w:pPr>
        <w:jc w:val="center"/>
        <w:rPr>
          <w:rFonts w:hint="default" w:ascii="Arial Black" w:hAnsi="Arial Black" w:cs="Arial Black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cs="Arial"/>
          <w:color w:val="000000"/>
          <w:kern w:val="0"/>
          <w:szCs w:val="21"/>
          <w:lang w:bidi="ar-SA"/>
        </w:rPr>
      </w:pPr>
      <w:r>
        <w:rPr>
          <w:rFonts w:hint="eastAsia" w:ascii="宋体" w:cs="Arial"/>
          <w:color w:val="000000"/>
          <w:kern w:val="0"/>
          <w:szCs w:val="21"/>
          <w:lang w:bidi="ar-SA"/>
        </w:rPr>
        <w:t>非常感谢您购买我们的GPS定位跟踪器。使用手册将详细的说明如何操作本产品。因此务必请您在使用产品前认真的阅读本份使用手册。</w:t>
      </w:r>
      <w:r>
        <w:rPr>
          <w:rFonts w:hint="eastAsia" w:ascii="宋体" w:cs="Arial"/>
          <w:color w:val="000000"/>
          <w:kern w:val="0"/>
          <w:szCs w:val="21"/>
          <w:lang w:val="zh-CN" w:eastAsia="zh-CN" w:bidi="ar-SA"/>
        </w:rPr>
        <w:t>如有更改,恕不另行通知。</w:t>
      </w:r>
      <w:r>
        <w:rPr>
          <w:rFonts w:hint="eastAsia" w:ascii="宋体" w:cs="Arial"/>
          <w:color w:val="000000"/>
          <w:kern w:val="0"/>
          <w:szCs w:val="21"/>
          <w:lang w:bidi="ar-SA"/>
        </w:rPr>
        <w:t>每次更改将统一在最新的一次产品销售中发布。生产商对于使用手册其中的过失和疏漏不承担法律责任。</w:t>
      </w:r>
    </w:p>
    <w:p>
      <w:pPr>
        <w:spacing w:line="360" w:lineRule="exac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spacing w:line="360" w:lineRule="exac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spacing w:line="360" w:lineRule="exac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spacing w:line="360" w:lineRule="exac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spacing w:line="360" w:lineRule="exac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spacing w:line="360" w:lineRule="exac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spacing w:line="360" w:lineRule="exact"/>
        <w:rPr>
          <w:rFonts w:hint="eastAsia" w:ascii="宋体" w:hAnsi="宋体"/>
          <w:b/>
          <w:bCs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产品功能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/>
          <w:b/>
          <w:bCs/>
          <w:sz w:val="24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防伪基站探测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超宽工作电压 (8V-95V)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实时追踪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电子围栏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EPO快速定位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超速报警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自动设防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位移报警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震动报警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cs="Arial"/>
          <w:b w:val="0"/>
          <w:bCs/>
          <w:sz w:val="24"/>
          <w:lang w:val="en-US" w:eastAsia="zh-CN" w:bidi="ar-SA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GPS/北斗/LBS  3模定位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sz w:val="24"/>
          <w:lang w:val="en-US" w:eastAsia="zh-CN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里程统计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sz w:val="24"/>
          <w:lang w:val="en-US" w:eastAsia="zh-CN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断电报警（选配）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sz w:val="24"/>
          <w:lang w:val="en-US" w:eastAsia="zh-CN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远程断油电（选配，需接继电器）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sz w:val="24"/>
          <w:lang w:val="en-US" w:eastAsia="zh-CN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ACC检测（选配）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sz w:val="24"/>
          <w:lang w:val="en-US" w:eastAsia="zh-CN"/>
        </w:rPr>
      </w:pPr>
      <w:r>
        <w:rPr>
          <w:rFonts w:hint="eastAsia" w:ascii="宋体" w:cs="Arial"/>
          <w:b w:val="0"/>
          <w:bCs/>
          <w:sz w:val="24"/>
          <w:lang w:val="en-US" w:eastAsia="zh-CN" w:bidi="ar-SA"/>
        </w:rPr>
        <w:t>光感拆除报警</w:t>
      </w:r>
    </w:p>
    <w:p>
      <w:pPr>
        <w:numPr>
          <w:ilvl w:val="0"/>
          <w:numId w:val="0"/>
        </w:numPr>
        <w:ind w:leftChars="0"/>
        <w:rPr>
          <w:rFonts w:hint="eastAsia" w:ascii="宋体" w:cs="Arial"/>
          <w:b w:val="0"/>
          <w:bCs/>
          <w:sz w:val="24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eastAsia" w:ascii="宋体" w:cs="Arial"/>
          <w:b w:val="0"/>
          <w:bCs/>
          <w:sz w:val="24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2、</w:t>
      </w:r>
      <w:r>
        <w:rPr>
          <w:rFonts w:hint="eastAsia"/>
          <w:b/>
          <w:bCs/>
          <w:sz w:val="24"/>
        </w:rPr>
        <w:t>产品规格</w:t>
      </w:r>
    </w:p>
    <w:tbl>
      <w:tblPr>
        <w:tblStyle w:val="4"/>
        <w:tblW w:w="8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5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终端尺寸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 w:ascii="Arial" w:hAnsi="Arial" w:cs="Arial"/>
                <w:bCs/>
                <w:color w:val="000000"/>
                <w:kern w:val="0"/>
                <w:sz w:val="24"/>
                <w:lang w:val="en-US" w:eastAsia="zh-CN"/>
              </w:rPr>
              <w:t>73</w:t>
            </w:r>
            <w:r>
              <w:rPr>
                <w:rFonts w:ascii="Arial" w:hAnsi="Arial" w:cs="Arial"/>
                <w:bCs/>
                <w:color w:val="000000"/>
                <w:kern w:val="0"/>
                <w:sz w:val="24"/>
              </w:rPr>
              <w:t xml:space="preserve">x 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24"/>
                <w:lang w:val="en-US" w:eastAsia="zh-CN"/>
              </w:rPr>
              <w:t>26</w:t>
            </w:r>
            <w:r>
              <w:rPr>
                <w:rFonts w:ascii="Arial" w:hAnsi="Arial" w:cs="Arial"/>
                <w:bCs/>
                <w:color w:val="000000"/>
                <w:kern w:val="0"/>
                <w:sz w:val="24"/>
              </w:rPr>
              <w:t xml:space="preserve">x 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ascii="Arial" w:hAnsi="Arial" w:cs="Arial"/>
                <w:bCs/>
                <w:color w:val="000000"/>
                <w:spacing w:val="-1"/>
                <w:kern w:val="0"/>
                <w:sz w:val="24"/>
              </w:rPr>
              <w:t>m</w:t>
            </w:r>
            <w:r>
              <w:rPr>
                <w:rFonts w:ascii="Arial" w:hAnsi="Arial" w:cs="Arial"/>
                <w:bCs/>
                <w:color w:val="000000"/>
                <w:spacing w:val="-6"/>
                <w:kern w:val="0"/>
                <w:sz w:val="24"/>
              </w:rPr>
              <w:t>m</w:t>
            </w:r>
            <w:r>
              <w:rPr>
                <w:rFonts w:hint="eastAsia" w:ascii="Arial" w:hAnsi="Arial" w:cs="Arial"/>
                <w:bCs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重量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 w:ascii="Arial" w:hAnsi="Arial" w:cs="Arial"/>
                <w:bCs/>
                <w:color w:val="000000"/>
                <w:kern w:val="0"/>
                <w:sz w:val="24"/>
                <w:lang w:val="en-US" w:eastAsia="zh-CN"/>
              </w:rPr>
              <w:t>27</w:t>
            </w:r>
            <w:r>
              <w:rPr>
                <w:rFonts w:ascii="Arial" w:hAnsi="Arial" w:cs="Arial"/>
                <w:bCs/>
                <w:color w:val="000000"/>
                <w:kern w:val="0"/>
                <w:sz w:val="24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pacing w:val="1"/>
                <w:kern w:val="0"/>
                <w:sz w:val="24"/>
              </w:rPr>
              <w:t>G</w:t>
            </w:r>
            <w:r>
              <w:rPr>
                <w:rFonts w:ascii="Arial" w:hAnsi="Arial" w:cs="Arial"/>
                <w:bCs/>
                <w:color w:val="000000"/>
                <w:spacing w:val="-2"/>
                <w:kern w:val="0"/>
                <w:sz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pacing w:val="-1"/>
                <w:kern w:val="0"/>
                <w:sz w:val="24"/>
              </w:rPr>
              <w:t>M/GPRS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网络频段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pacing w:val="1"/>
                <w:kern w:val="0"/>
                <w:sz w:val="24"/>
              </w:rPr>
              <w:t xml:space="preserve">850/900/1800/1900Mhz </w:t>
            </w:r>
            <w:r>
              <w:rPr>
                <w:rFonts w:hint="eastAsia" w:ascii="Arial" w:hAnsi="Arial" w:cs="Arial"/>
                <w:bCs/>
                <w:color w:val="000000"/>
                <w:spacing w:val="1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芯片方案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color w:val="000000"/>
                <w:kern w:val="0"/>
                <w:sz w:val="24"/>
              </w:rPr>
              <w:t>MT</w:t>
            </w:r>
            <w:r>
              <w:rPr>
                <w:rFonts w:hint="eastAsia" w:ascii="Arial" w:hAnsi="Arial" w:cs="Arial"/>
                <w:bCs/>
                <w:color w:val="000000"/>
                <w:kern w:val="0"/>
                <w:sz w:val="24"/>
                <w:lang w:val="en-US" w:eastAsia="zh-CN"/>
              </w:rPr>
              <w:t>2503D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GPS 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灵敏</w:t>
            </w:r>
            <w:r>
              <w:rPr>
                <w:rFonts w:hint="eastAsia"/>
                <w:color w:val="000000"/>
                <w:kern w:val="0"/>
                <w:sz w:val="24"/>
              </w:rPr>
              <w:t>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-1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en-US" w:eastAsia="zh-CN"/>
              </w:rPr>
              <w:t>61</w:t>
            </w:r>
            <w:r>
              <w:rPr>
                <w:bCs/>
                <w:color w:val="000000"/>
                <w:kern w:val="0"/>
                <w:sz w:val="24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GPS </w:t>
            </w:r>
            <w:r>
              <w:rPr>
                <w:rFonts w:hint="eastAsia"/>
                <w:color w:val="000000"/>
                <w:kern w:val="0"/>
                <w:sz w:val="24"/>
              </w:rPr>
              <w:t>位置精确度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color w:val="000000"/>
                <w:kern w:val="0"/>
                <w:sz w:val="24"/>
              </w:rPr>
              <w:t>m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(3D定位模式下）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首次定位时间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冷启动  45-120秒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暖启动  35秒</w:t>
            </w: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热启动  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工作电压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8-95V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存储温度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-40°C to +85°C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工作温度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-20°C to +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70</w:t>
            </w:r>
            <w:r>
              <w:rPr>
                <w:color w:val="000000"/>
                <w:kern w:val="0"/>
                <w:sz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湿度</w:t>
            </w:r>
          </w:p>
        </w:tc>
        <w:tc>
          <w:tcPr>
            <w:tcW w:w="5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5%--95% </w:t>
            </w:r>
            <w:r>
              <w:rPr>
                <w:rFonts w:hint="eastAsia"/>
                <w:color w:val="000000"/>
                <w:kern w:val="0"/>
                <w:sz w:val="24"/>
              </w:rPr>
              <w:t>不凝固的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产品说明</w:t>
      </w:r>
    </w:p>
    <w:p>
      <w:pPr>
        <w:spacing w:line="360" w:lineRule="exac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3.1</w:t>
      </w:r>
      <w:r>
        <w:rPr>
          <w:rFonts w:hint="eastAsia" w:ascii="宋体" w:hAnsi="宋体"/>
          <w:b/>
          <w:bCs/>
          <w:sz w:val="24"/>
          <w:szCs w:val="24"/>
        </w:rPr>
        <w:t>、指示灯说明</w:t>
      </w:r>
    </w:p>
    <w:p>
      <w:pPr>
        <w:spacing w:line="360" w:lineRule="exact"/>
        <w:ind w:firstLine="102" w:firstLineChars="49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</w:t>
      </w:r>
      <w:r>
        <w:rPr>
          <w:rFonts w:hint="eastAsia"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1.1</w:t>
      </w:r>
      <w:r>
        <w:rPr>
          <w:rFonts w:hint="eastAsia" w:ascii="宋体" w:hAnsi="宋体"/>
          <w:b w:val="0"/>
          <w:bCs/>
          <w:szCs w:val="21"/>
        </w:rPr>
        <w:t>绿色灯-GSM指示灯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灯的状态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  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常亮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GSM初始化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闪烁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GPRS通讯正常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不亮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GSM</w:t>
            </w:r>
            <w:r>
              <w:rPr>
                <w:rFonts w:hint="eastAsia" w:ascii="宋体" w:hAnsi="宋体"/>
                <w:szCs w:val="21"/>
                <w:lang w:eastAsia="zh-CN"/>
              </w:rPr>
              <w:t>休眠</w:t>
            </w:r>
          </w:p>
        </w:tc>
      </w:tr>
    </w:tbl>
    <w:p>
      <w:pPr>
        <w:spacing w:line="360" w:lineRule="exact"/>
        <w:ind w:firstLine="102" w:firstLineChars="49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3.1.2</w:t>
      </w:r>
      <w:r>
        <w:rPr>
          <w:rFonts w:hint="eastAsia" w:ascii="宋体" w:hAnsi="宋体"/>
          <w:b w:val="0"/>
          <w:bCs/>
          <w:szCs w:val="21"/>
        </w:rPr>
        <w:t>蓝色灯-GPS指示灯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灯的状态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  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常亮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GPS信号搜索中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闪烁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GPS信号正常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不亮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GPS</w:t>
            </w:r>
            <w:r>
              <w:rPr>
                <w:rFonts w:hint="eastAsia" w:ascii="宋体" w:hAnsi="宋体"/>
                <w:szCs w:val="21"/>
                <w:lang w:eastAsia="zh-CN"/>
              </w:rPr>
              <w:t>休眠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4</w:t>
      </w:r>
      <w:r>
        <w:rPr>
          <w:rFonts w:hint="eastAsia" w:ascii="宋体" w:hAnsi="宋体"/>
          <w:b/>
          <w:lang w:val="en-US" w:eastAsia="zh-CN"/>
        </w:rPr>
        <w:t xml:space="preserve"> 产品安装位置及接线说明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</w:p>
    <w:p>
      <w:pPr>
        <w:numPr>
          <w:ilvl w:val="0"/>
          <w:numId w:val="0"/>
        </w:numPr>
        <w:ind w:firstLine="211" w:firstLineChars="100"/>
        <w:jc w:val="left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>卡安装：</w:t>
      </w:r>
      <w:r>
        <w:rPr>
          <w:rFonts w:hint="eastAsia" w:ascii="宋体" w:hAnsi="宋体"/>
          <w:b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133985</wp:posOffset>
            </wp:positionV>
            <wp:extent cx="6240145" cy="1998345"/>
            <wp:effectExtent l="0" t="0" r="8255" b="1905"/>
            <wp:wrapNone/>
            <wp:docPr id="15" name="图片 15" descr="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014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lang w:val="en-US" w:eastAsia="zh-CN"/>
        </w:rPr>
      </w:pP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</w:t>
      </w:r>
    </w:p>
    <w:p>
      <w:pPr>
        <w:jc w:val="left"/>
        <w:rPr>
          <w:rFonts w:hint="default" w:ascii="Arial" w:hAnsi="Arial" w:eastAsia="宋体" w:cs="Arial"/>
          <w:b/>
          <w:bCs/>
          <w:sz w:val="24"/>
          <w:szCs w:val="24"/>
        </w:rPr>
      </w:pPr>
    </w:p>
    <w:p>
      <w:pPr>
        <w:jc w:val="left"/>
        <w:rPr>
          <w:rFonts w:hint="default" w:ascii="Arial" w:hAnsi="Arial" w:eastAsia="宋体" w:cs="Arial"/>
          <w:b/>
          <w:bCs/>
          <w:shd w:val="clear" w:fill="70AD47" w:themeFill="accent6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24"/>
          <w:szCs w:val="24"/>
        </w:rPr>
        <w:t>Nano 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>卡</w:t>
      </w:r>
      <w:r>
        <w:rPr>
          <w:rFonts w:hint="default" w:ascii="Arial" w:hAnsi="Arial" w:eastAsia="宋体" w:cs="Arial"/>
          <w:b/>
          <w:bCs/>
          <w:sz w:val="24"/>
          <w:szCs w:val="24"/>
        </w:rPr>
        <w:t> 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sz w:val="24"/>
          <w:szCs w:val="24"/>
          <w:shd w:val="clear" w:fill="70AD47" w:themeFill="accent6"/>
          <w:lang w:val="en-US" w:eastAsia="zh-CN"/>
        </w:rPr>
        <w:t xml:space="preserve"> 1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              </w:t>
      </w:r>
      <w:r>
        <w:rPr>
          <w:rFonts w:hint="default" w:ascii="Arial" w:hAnsi="Arial" w:eastAsia="宋体" w:cs="Arial"/>
          <w:b/>
          <w:bCs/>
          <w:sz w:val="24"/>
          <w:szCs w:val="24"/>
        </w:rPr>
        <w:t>Nano 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>卡</w:t>
      </w:r>
      <w:r>
        <w:rPr>
          <w:rFonts w:hint="default" w:ascii="Arial" w:hAnsi="Arial" w:eastAsia="宋体" w:cs="Arial"/>
          <w:b/>
          <w:bCs/>
          <w:sz w:val="24"/>
          <w:szCs w:val="24"/>
        </w:rPr>
        <w:t> 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sz w:val="24"/>
          <w:szCs w:val="24"/>
          <w:shd w:val="clear" w:fill="70AD47" w:themeFill="accent6"/>
          <w:lang w:val="en-US" w:eastAsia="zh-CN"/>
        </w:rPr>
        <w:t xml:space="preserve"> 2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                 </w:t>
      </w:r>
      <w:r>
        <w:rPr>
          <w:rFonts w:hint="default" w:ascii="Arial" w:hAnsi="Arial" w:eastAsia="宋体" w:cs="Arial"/>
          <w:b/>
          <w:bCs/>
          <w:sz w:val="24"/>
          <w:szCs w:val="24"/>
        </w:rPr>
        <w:t>Nano 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>卡</w:t>
      </w:r>
      <w:r>
        <w:rPr>
          <w:rFonts w:hint="default" w:ascii="Arial" w:hAnsi="Arial" w:eastAsia="宋体" w:cs="Arial"/>
          <w:b/>
          <w:bCs/>
          <w:sz w:val="24"/>
          <w:szCs w:val="24"/>
        </w:rPr>
        <w:t> 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sz w:val="24"/>
          <w:szCs w:val="24"/>
          <w:shd w:val="clear" w:fill="70AD47" w:themeFill="accent6"/>
          <w:lang w:val="en-US" w:eastAsia="zh-CN"/>
        </w:rPr>
        <w:t xml:space="preserve"> 3 </w:t>
      </w:r>
    </w:p>
    <w:p>
      <w:pPr>
        <w:rPr>
          <w:rFonts w:hint="eastAsia" w:ascii="宋体" w:hAnsi="宋体"/>
          <w:b/>
          <w:lang w:val="en-US" w:eastAsia="zh-CN"/>
        </w:rPr>
      </w:pP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安装说明：</w:t>
      </w:r>
    </w:p>
    <w:p>
      <w:pPr>
        <w:ind w:left="843" w:hanging="843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 </w:t>
      </w:r>
      <w:r>
        <w:rPr>
          <w:rFonts w:hint="eastAsia" w:ascii="宋体" w:hAnsi="宋体"/>
          <w:b w:val="0"/>
          <w:bCs/>
          <w:lang w:val="en-US" w:eastAsia="zh-CN"/>
        </w:rPr>
        <w:t>终端的安装方式为隐蔽式安装，安装建议由经销商指定的专业机构进行安装。</w:t>
      </w: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安装注意事项：</w:t>
      </w:r>
    </w:p>
    <w:p>
      <w:pPr>
        <w:ind w:left="843" w:hanging="843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 </w:t>
      </w:r>
      <w:r>
        <w:rPr>
          <w:rFonts w:hint="eastAsia" w:ascii="宋体" w:hAnsi="宋体"/>
          <w:b w:val="0"/>
          <w:bCs/>
          <w:lang w:val="en-US" w:eastAsia="zh-CN"/>
        </w:rPr>
        <w:t>隐蔽安装，注意防水；</w:t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 xml:space="preserve">      可使用扎带固定，或用3M 双面胶固定；</w:t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 xml:space="preserve">      安装时应确保正面（指示灯）向上（朝天空），且上方无金属物遮挡屏蔽。</w:t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 xml:space="preserve"> 4.1 汽车安装示意图位置</w:t>
      </w: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</w:t>
      </w:r>
      <w:r>
        <w:rPr>
          <w:rFonts w:hint="eastAsia" w:ascii="宋体" w:hAnsi="宋体"/>
          <w:b/>
          <w:lang w:val="en-US" w:eastAsia="zh-CN"/>
        </w:rPr>
        <w:drawing>
          <wp:inline distT="0" distB="0" distL="114300" distR="114300">
            <wp:extent cx="5273675" cy="3815080"/>
            <wp:effectExtent l="0" t="0" r="3175" b="1397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 xml:space="preserve"> 4.2 摩托车安装示意图位置</w:t>
      </w: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</w:t>
      </w:r>
      <w:r>
        <w:rPr>
          <w:rFonts w:hint="eastAsia" w:ascii="宋体" w:hAnsi="宋体"/>
          <w:b/>
          <w:lang w:val="en-US" w:eastAsia="zh-CN"/>
        </w:rPr>
        <w:drawing>
          <wp:inline distT="0" distB="0" distL="114300" distR="114300">
            <wp:extent cx="5269865" cy="2623820"/>
            <wp:effectExtent l="0" t="0" r="6985" b="5080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 xml:space="preserve"> 4.3 电动车安装示意图位置</w:t>
      </w:r>
    </w:p>
    <w:p>
      <w:pPr>
        <w:ind w:left="843" w:hanging="843" w:hangingChars="4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 </w:t>
      </w:r>
      <w:r>
        <w:rPr>
          <w:rFonts w:hint="eastAsia" w:ascii="宋体" w:hAnsi="宋体"/>
          <w:b/>
          <w:lang w:val="en-US" w:eastAsia="zh-CN"/>
        </w:rPr>
        <w:drawing>
          <wp:inline distT="0" distB="0" distL="114300" distR="114300">
            <wp:extent cx="5270500" cy="2439670"/>
            <wp:effectExtent l="0" t="0" r="6350" b="17780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3" w:hanging="840" w:hangingChars="4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/>
          <w:b w:val="0"/>
          <w:bCs/>
          <w:lang w:val="en-US" w:eastAsia="zh-CN"/>
        </w:rPr>
        <w:t>4.4 终端出线定义</w:t>
      </w:r>
    </w:p>
    <w:p>
      <w:pPr>
        <w:ind w:left="843" w:hanging="843" w:hangingChars="400"/>
        <w:rPr>
          <w:rFonts w:hint="eastAsia" w:ascii="宋体" w:hAnsi="宋体"/>
          <w:b w:val="0"/>
          <w:bCs/>
          <w:vertAlign w:val="baseline"/>
          <w:lang w:val="en-US" w:eastAsia="zh-CN"/>
        </w:rPr>
      </w:pPr>
      <w:r>
        <w:rPr>
          <w:rFonts w:hint="eastAsia" w:ascii="宋体" w:hAnsi="宋体"/>
          <w:b/>
          <w:lang w:val="en-US" w:eastAsia="zh-CN"/>
        </w:rPr>
        <w:t xml:space="preserve">    </w:t>
      </w:r>
    </w:p>
    <w:tbl>
      <w:tblPr>
        <w:tblStyle w:val="5"/>
        <w:tblW w:w="6947" w:type="dxa"/>
        <w:tblInd w:w="1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45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线序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定义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颜色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接线说明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V+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红色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接正极（8-95V）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V-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黑色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vertAlign w:val="baseline"/>
                <w:lang w:val="en-US" w:eastAsia="zh-CN"/>
              </w:rPr>
              <w:t>接负极或搭铁</w:t>
            </w:r>
          </w:p>
        </w:tc>
      </w:tr>
    </w:tbl>
    <w:p>
      <w:pPr>
        <w:spacing w:line="360" w:lineRule="exac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 终端平台应用操作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登录经销商指定的手机客户端或位置服务平台绑定终端即可查询、设置终端相关参数。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 登录位置服务平台：请登录经销商指定位置服务平台进行相应的设置和功能操作。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</w:t>
      </w:r>
      <w:bookmarkStart w:id="0" w:name="_GoBack"/>
      <w:bookmarkEnd w:id="0"/>
      <w:r>
        <w:rPr>
          <w:rFonts w:hint="eastAsia"/>
          <w:lang w:val="en-US" w:eastAsia="zh-CN"/>
        </w:rPr>
        <w:t>.2 下载手机客户端：请登录经销商指定网址下载手机客户端软件进行安装。</w:t>
      </w:r>
    </w:p>
    <w:p>
      <w:pPr>
        <w:ind w:firstLine="420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714240" cy="2505075"/>
            <wp:effectExtent l="0" t="0" r="10160" b="952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 常见故障排除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当操作终端出现如下故障时，请参阅如下故障排除方案，如果您仍不能解决故障问题，请与您销售商或服务商联系！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245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常见问题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故障描述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99"/>
              </w:tabs>
              <w:spacing w:line="720" w:lineRule="auto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定位信号不好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在接收不良的地方使用终端，如高楼底下或地下室等，无法有效的接收到卫星信号。</w:t>
            </w:r>
          </w:p>
        </w:tc>
        <w:tc>
          <w:tcPr>
            <w:tcW w:w="3470" w:type="dxa"/>
            <w:vAlign w:val="top"/>
          </w:tcPr>
          <w:p>
            <w:pPr>
              <w:spacing w:line="72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在终端良好的地方使用终端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终端摆放正面朝下或上方有金属物质层遮挡，无法接收到卫星信号。</w:t>
            </w:r>
          </w:p>
        </w:tc>
        <w:tc>
          <w:tcPr>
            <w:tcW w:w="3470" w:type="dxa"/>
            <w:vAlign w:val="top"/>
          </w:tcPr>
          <w:p>
            <w:pPr>
              <w:spacing w:line="72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请摆放正确方向或更换安装位置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无法开机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电池电量低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接外电，给电池充电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保险丝熔断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联系经销商更换相同规格型号保险丝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无法连接网络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SIM卡没装好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检测SIM卡，重新安装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SIM卡金属面有污物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请用干净的布擦试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SIM卡损坏或无效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请更换有效SIM卡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超出GSM服务区域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请移到网络供应商服务区域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信号弱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请移到信号强的地方重试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无法充电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接触不良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请检测终端电源是否接好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查不到位置信息</w:t>
            </w: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SIM卡没开通GPRS服务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请联系网络服务商开通GPRS业务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SIM卡欠费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充值费用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4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发送指令不回复</w:t>
            </w:r>
          </w:p>
        </w:tc>
        <w:tc>
          <w:tcPr>
            <w:tcW w:w="3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请确保终端能正常连接网络并且开通终端SIM卡短信功能</w:t>
            </w:r>
          </w:p>
        </w:tc>
      </w:tr>
    </w:tbl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97E5C"/>
    <w:multiLevelType w:val="singleLevel"/>
    <w:tmpl w:val="D6797E5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A8DE252"/>
    <w:multiLevelType w:val="singleLevel"/>
    <w:tmpl w:val="4A8DE25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560810"/>
    <w:multiLevelType w:val="singleLevel"/>
    <w:tmpl w:val="5956081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1298"/>
    <w:rsid w:val="00A806CC"/>
    <w:rsid w:val="01043035"/>
    <w:rsid w:val="09165C1F"/>
    <w:rsid w:val="0F19367D"/>
    <w:rsid w:val="107D12B7"/>
    <w:rsid w:val="116C5AC7"/>
    <w:rsid w:val="11893BCB"/>
    <w:rsid w:val="15487D17"/>
    <w:rsid w:val="1A4C3726"/>
    <w:rsid w:val="1D7069B5"/>
    <w:rsid w:val="1F463B98"/>
    <w:rsid w:val="1F4C4073"/>
    <w:rsid w:val="20111AA2"/>
    <w:rsid w:val="2033133F"/>
    <w:rsid w:val="222F3771"/>
    <w:rsid w:val="25C024FD"/>
    <w:rsid w:val="2736598D"/>
    <w:rsid w:val="27497A2A"/>
    <w:rsid w:val="28005B53"/>
    <w:rsid w:val="28AE1143"/>
    <w:rsid w:val="2AC56643"/>
    <w:rsid w:val="2B141F63"/>
    <w:rsid w:val="2DB24694"/>
    <w:rsid w:val="2E79247D"/>
    <w:rsid w:val="2F491116"/>
    <w:rsid w:val="303D50BB"/>
    <w:rsid w:val="30557EC1"/>
    <w:rsid w:val="306D4E4E"/>
    <w:rsid w:val="331A7F11"/>
    <w:rsid w:val="33256767"/>
    <w:rsid w:val="34115681"/>
    <w:rsid w:val="36FE2D17"/>
    <w:rsid w:val="38253F12"/>
    <w:rsid w:val="3843056C"/>
    <w:rsid w:val="389B74A5"/>
    <w:rsid w:val="3BF8446F"/>
    <w:rsid w:val="3CA00DFE"/>
    <w:rsid w:val="3CD84D90"/>
    <w:rsid w:val="3D600D1F"/>
    <w:rsid w:val="3E774487"/>
    <w:rsid w:val="3EC42AE3"/>
    <w:rsid w:val="3F891D40"/>
    <w:rsid w:val="406210C2"/>
    <w:rsid w:val="409D1298"/>
    <w:rsid w:val="428C1B6A"/>
    <w:rsid w:val="4313737E"/>
    <w:rsid w:val="447666FB"/>
    <w:rsid w:val="47A10182"/>
    <w:rsid w:val="497800F6"/>
    <w:rsid w:val="4B9175C0"/>
    <w:rsid w:val="4C0F0EB4"/>
    <w:rsid w:val="4FA66631"/>
    <w:rsid w:val="4FC35C96"/>
    <w:rsid w:val="542114DE"/>
    <w:rsid w:val="557A5C8E"/>
    <w:rsid w:val="575E7DB4"/>
    <w:rsid w:val="57913D1F"/>
    <w:rsid w:val="59DB1C5C"/>
    <w:rsid w:val="5BB321DE"/>
    <w:rsid w:val="5C86391D"/>
    <w:rsid w:val="5F763CD3"/>
    <w:rsid w:val="5FD40384"/>
    <w:rsid w:val="645B237C"/>
    <w:rsid w:val="65BC0EFD"/>
    <w:rsid w:val="692C27E0"/>
    <w:rsid w:val="6FD65844"/>
    <w:rsid w:val="72C21E17"/>
    <w:rsid w:val="75D53663"/>
    <w:rsid w:val="7B3816DE"/>
    <w:rsid w:val="7D756407"/>
    <w:rsid w:val="7DC215C9"/>
    <w:rsid w:val="7DCE5C38"/>
    <w:rsid w:val="7E415C71"/>
    <w:rsid w:val="7ECD1CB5"/>
    <w:rsid w:val="7F122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2017-07-03T07:44:00Z</dcterms:created>
  <dc:creator>Administrator</dc:creator>
  <cp:lastModifiedBy>Rambo</cp:lastModifiedBy>
  <dcterms:modified xsi:type="dcterms:W3CDTF">2019-11-20T09:53:30Z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